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5"/>
        <w:jc w:val="left"/>
        <w:rPr>
          <w:rFonts w:eastAsia="Times New Roman" w:cs="Times New Roman"/>
          <w:b/>
          <w:b/>
          <w:bCs/>
          <w:color w:val="000000"/>
          <w:kern w:val="2"/>
          <w:sz w:val="32"/>
          <w:szCs w:val="32"/>
          <w:lang w:val="es-ES" w:eastAsia="zh-CN" w:bidi="hi-IN"/>
        </w:rPr>
      </w:pPr>
      <w:r>
        <w:rPr>
          <w:rFonts w:eastAsia="Times New Roman" w:cs="Times New Roman"/>
          <w:b/>
          <w:bCs/>
          <w:color w:val="000000"/>
          <w:kern w:val="2"/>
          <w:sz w:val="32"/>
          <w:szCs w:val="32"/>
          <w:lang w:val="es-ES" w:eastAsia="zh-CN" w:bidi="hi-IN"/>
        </w:rPr>
      </w:r>
    </w:p>
    <w:p>
      <w:pPr>
        <w:pStyle w:val="Normal"/>
        <w:spacing w:before="0" w:after="125"/>
        <w:jc w:val="left"/>
        <w:rPr/>
      </w:pPr>
      <w:r>
        <w:rPr>
          <w:rFonts w:eastAsia="Times New Roman" w:cs="Times New Roman"/>
          <w:b/>
          <w:bCs/>
          <w:color w:val="000000"/>
          <w:kern w:val="2"/>
          <w:sz w:val="32"/>
          <w:szCs w:val="32"/>
          <w:lang w:val="es-ES" w:eastAsia="zh-CN" w:bidi="hi-IN"/>
        </w:rPr>
        <w:t>MásMedio saca a licitación, por valor de 11 millones de euros, la gestión de 43 estaciones depuradoras que atenderán a 50 municipios</w:t>
      </w:r>
    </w:p>
    <w:p>
      <w:pPr>
        <w:pStyle w:val="Cuerpodetexto"/>
        <w:spacing w:before="0" w:after="125"/>
        <w:jc w:val="left"/>
        <w:rPr/>
      </w:pPr>
      <w:r>
        <w:rPr>
          <w:rFonts w:eastAsia="Times New Roman" w:cs="Times New Roman"/>
          <w:b/>
          <w:bCs/>
          <w:i w:val="false"/>
          <w:iCs w:val="false"/>
          <w:color w:val="000000"/>
          <w:kern w:val="2"/>
          <w:sz w:val="24"/>
          <w:szCs w:val="24"/>
          <w:lang w:val="es-ES" w:eastAsia="zh-CN" w:bidi="hi-IN"/>
        </w:rPr>
        <w:t>Con este contrato, “el más grandes de la historia del consorcio”, MásMedio muestra su “fortaleza”, pasando de las 9 estaciones con las que contaba en 2019, a 52, en el momento en el que se sume también las previstas en la comarca de Sierra de Gata.</w:t>
      </w:r>
    </w:p>
    <w:p>
      <w:pPr>
        <w:pStyle w:val="Cuerpodetexto"/>
        <w:spacing w:before="0" w:after="125"/>
        <w:jc w:val="left"/>
        <w:rPr>
          <w:b/>
          <w:b/>
          <w:bCs/>
          <w:color w:val="000000"/>
        </w:rPr>
      </w:pPr>
      <w:r>
        <w:rPr>
          <w:rFonts w:eastAsia="SimSun;宋体" w:cs="Mangal;Cambria Math"/>
          <w:b/>
          <w:color w:val="000000"/>
          <w:kern w:val="2"/>
          <w:sz w:val="24"/>
          <w:szCs w:val="24"/>
          <w:lang w:val="es-ES" w:eastAsia="zh-CN" w:bidi="hi-IN"/>
        </w:rPr>
        <w:t>22</w:t>
      </w:r>
      <w:r>
        <w:rPr>
          <w:b/>
          <w:color w:val="000000"/>
        </w:rPr>
        <w:t>/</w:t>
      </w:r>
      <w:r>
        <w:rPr>
          <w:rFonts w:eastAsia="SimSun;宋体" w:cs="Mangal;Cambria Math"/>
          <w:b/>
          <w:color w:val="000000"/>
          <w:kern w:val="2"/>
          <w:sz w:val="24"/>
          <w:szCs w:val="24"/>
          <w:lang w:val="es-ES" w:eastAsia="zh-CN" w:bidi="hi-IN"/>
        </w:rPr>
        <w:t>05</w:t>
      </w:r>
      <w:r>
        <w:rPr>
          <w:b/>
          <w:color w:val="000000"/>
        </w:rPr>
        <w:t>/</w:t>
      </w:r>
      <w:r>
        <w:rPr>
          <w:rFonts w:eastAsia="SimSun;宋体" w:cs="Mangal;Cambria Math"/>
          <w:b/>
          <w:color w:val="000000"/>
          <w:kern w:val="2"/>
          <w:sz w:val="24"/>
          <w:szCs w:val="24"/>
          <w:lang w:val="es-ES" w:eastAsia="zh-CN" w:bidi="hi-IN"/>
        </w:rPr>
        <w:t>2024, Cáceres</w:t>
      </w:r>
      <w:r>
        <w:rPr>
          <w:b/>
          <w:color w:val="000000"/>
        </w:rPr>
        <w:t>.-</w:t>
      </w:r>
      <w:r>
        <w:rPr>
          <w:b w:val="false"/>
          <w:bCs w:val="false"/>
          <w:color w:val="000000"/>
        </w:rPr>
        <w:t xml:space="preserve"> </w:t>
      </w:r>
      <w:r>
        <w:rPr>
          <w:rFonts w:eastAsia="SimSun;宋体" w:cs="Mangal;Cambria Math"/>
          <w:b w:val="false"/>
          <w:bCs w:val="false"/>
          <w:color w:val="000000"/>
          <w:kern w:val="2"/>
          <w:sz w:val="24"/>
          <w:szCs w:val="24"/>
          <w:lang w:val="es-ES" w:eastAsia="zh-CN" w:bidi="hi-IN"/>
        </w:rPr>
        <w:t xml:space="preserve">El diputado provincial y vicepresidente del Consorcio Medioambiente y Aguas Provincia de Cáceres de la Diputación, MásMedio, </w:t>
      </w:r>
      <w:r>
        <w:rPr>
          <w:rFonts w:eastAsia="SimSun;宋体" w:cs="Mangal;Cambria Math"/>
          <w:b/>
          <w:bCs/>
          <w:color w:val="000000"/>
          <w:kern w:val="2"/>
          <w:sz w:val="24"/>
          <w:szCs w:val="24"/>
          <w:lang w:val="es-ES" w:eastAsia="zh-CN" w:bidi="hi-IN"/>
        </w:rPr>
        <w:t>Javier Prieto</w:t>
      </w:r>
      <w:r>
        <w:rPr>
          <w:rFonts w:eastAsia="SimSun;宋体" w:cs="Mangal;Cambria Math"/>
          <w:b w:val="false"/>
          <w:bCs w:val="false"/>
          <w:color w:val="000000"/>
          <w:kern w:val="2"/>
          <w:sz w:val="24"/>
          <w:szCs w:val="24"/>
          <w:lang w:val="es-ES" w:eastAsia="zh-CN" w:bidi="hi-IN"/>
        </w:rPr>
        <w:t xml:space="preserve">, acompañado del gerente de este organismo, </w:t>
      </w:r>
      <w:r>
        <w:rPr>
          <w:rFonts w:eastAsia="SimSun;宋体" w:cs="Mangal;Cambria Math"/>
          <w:b/>
          <w:bCs/>
          <w:color w:val="000000"/>
          <w:kern w:val="2"/>
          <w:sz w:val="24"/>
          <w:szCs w:val="24"/>
          <w:lang w:val="es-ES" w:eastAsia="zh-CN" w:bidi="hi-IN"/>
        </w:rPr>
        <w:t>Gustavo Pérez</w:t>
      </w:r>
      <w:r>
        <w:rPr>
          <w:rFonts w:eastAsia="SimSun;宋体" w:cs="Mangal;Cambria Math"/>
          <w:b w:val="false"/>
          <w:bCs w:val="false"/>
          <w:color w:val="000000"/>
          <w:kern w:val="2"/>
          <w:sz w:val="24"/>
          <w:szCs w:val="24"/>
          <w:lang w:val="es-ES" w:eastAsia="zh-CN" w:bidi="hi-IN"/>
        </w:rPr>
        <w:t xml:space="preserve">, ha presentado la convocatoria para la licitación de los servicios de gestión, funcionamiento, explotación y mantenimiento de 43 Estaciones de Tratamiento de Aguas Residuales (EDARs) de la provincia, con un presupuesto de </w:t>
      </w:r>
      <w:r>
        <w:rPr>
          <w:rFonts w:eastAsia="SimSun;宋体" w:cs="Mangal;Cambria Math"/>
          <w:b/>
          <w:bCs/>
          <w:color w:val="000000"/>
          <w:kern w:val="2"/>
          <w:sz w:val="24"/>
          <w:szCs w:val="24"/>
          <w:lang w:val="es-ES" w:eastAsia="zh-CN" w:bidi="hi-IN"/>
        </w:rPr>
        <w:t>10.998.334 euros</w:t>
      </w:r>
      <w:r>
        <w:rPr>
          <w:rFonts w:eastAsia="SimSun;宋体" w:cs="Mangal;Cambria Math"/>
          <w:b w:val="false"/>
          <w:bCs w:val="false"/>
          <w:color w:val="000000"/>
          <w:kern w:val="2"/>
          <w:sz w:val="24"/>
          <w:szCs w:val="24"/>
          <w:lang w:val="es-ES" w:eastAsia="zh-CN" w:bidi="hi-IN"/>
        </w:rPr>
        <w:t>.</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w:t>
      </w:r>
      <w:r>
        <w:rPr>
          <w:rFonts w:eastAsia="SimSun;宋体" w:cs="Mangal;Cambria Math"/>
          <w:b w:val="false"/>
          <w:bCs w:val="false"/>
          <w:color w:val="000000"/>
          <w:kern w:val="2"/>
          <w:sz w:val="24"/>
          <w:szCs w:val="24"/>
          <w:lang w:val="es-ES" w:eastAsia="zh-CN" w:bidi="hi-IN"/>
        </w:rPr>
        <w:t>Se trata -ha dicho Prieto- del contrato más grande de la historia de MásMedio y que demuestra la fortaleza de este consorcio y su evolución”. En este sentido, ha recordado que, en 2019, MásMedio gestionaba 9 EDARs, pasando, ahora, con esta licitación, a 43 EDARs que atenderán las necesidades de 50 entidades locales, entre municipios, entidades locales menores y pedanías.</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 xml:space="preserve">La licitación se divide en </w:t>
      </w:r>
      <w:r>
        <w:rPr>
          <w:rFonts w:eastAsia="SimSun;宋体" w:cs="Mangal;Cambria Math"/>
          <w:b/>
          <w:bCs/>
          <w:color w:val="000000"/>
          <w:kern w:val="2"/>
          <w:sz w:val="24"/>
          <w:szCs w:val="24"/>
          <w:lang w:val="es-ES" w:eastAsia="zh-CN" w:bidi="hi-IN"/>
        </w:rPr>
        <w:t>6 lotes,</w:t>
      </w:r>
      <w:r>
        <w:rPr>
          <w:rFonts w:eastAsia="SimSun;宋体" w:cs="Mangal;Cambria Math"/>
          <w:b w:val="false"/>
          <w:bCs w:val="false"/>
          <w:color w:val="000000"/>
          <w:kern w:val="2"/>
          <w:sz w:val="24"/>
          <w:szCs w:val="24"/>
          <w:lang w:val="es-ES" w:eastAsia="zh-CN" w:bidi="hi-IN"/>
        </w:rPr>
        <w:t xml:space="preserve"> que incluyen entidades locales cercanas y que no tienen por qué coincidir en todos los casos con la división administrativa o geográfica de comarcas. Así, los lotes son: </w:t>
      </w:r>
      <w:r>
        <w:rPr>
          <w:rFonts w:eastAsia="SimSun;宋体" w:cs="Mangal;Cambria Math"/>
          <w:b/>
          <w:bCs/>
          <w:color w:val="000000"/>
          <w:kern w:val="2"/>
          <w:sz w:val="24"/>
          <w:szCs w:val="24"/>
          <w:lang w:val="es-ES" w:eastAsia="zh-CN" w:bidi="hi-IN"/>
        </w:rPr>
        <w:t>Lote I Este</w:t>
      </w:r>
      <w:r>
        <w:rPr>
          <w:rFonts w:eastAsia="SimSun;宋体" w:cs="Mangal;Cambria Math"/>
          <w:b w:val="false"/>
          <w:bCs w:val="false"/>
          <w:color w:val="000000"/>
          <w:kern w:val="2"/>
          <w:sz w:val="24"/>
          <w:szCs w:val="24"/>
          <w:lang w:val="es-ES" w:eastAsia="zh-CN" w:bidi="hi-IN"/>
        </w:rPr>
        <w:t xml:space="preserve">, de la cuenca del Tajo, que abarca municipios de Sierra de San Pedro y Tajo-Salor; </w:t>
      </w:r>
      <w:r>
        <w:rPr>
          <w:rFonts w:eastAsia="SimSun;宋体" w:cs="Mangal;Cambria Math"/>
          <w:b/>
          <w:bCs/>
          <w:color w:val="000000"/>
          <w:kern w:val="2"/>
          <w:sz w:val="24"/>
          <w:szCs w:val="24"/>
          <w:lang w:val="es-ES" w:eastAsia="zh-CN" w:bidi="hi-IN"/>
        </w:rPr>
        <w:t>Lote II Oeste</w:t>
      </w:r>
      <w:r>
        <w:rPr>
          <w:rFonts w:eastAsia="SimSun;宋体" w:cs="Mangal;Cambria Math"/>
          <w:b w:val="false"/>
          <w:bCs w:val="false"/>
          <w:color w:val="000000"/>
          <w:kern w:val="2"/>
          <w:sz w:val="24"/>
          <w:szCs w:val="24"/>
          <w:lang w:val="es-ES" w:eastAsia="zh-CN" w:bidi="hi-IN"/>
        </w:rPr>
        <w:t xml:space="preserve">, cuencas Guadiana y Tajo, con municipios de zona Centro e Ibores; </w:t>
      </w:r>
      <w:r>
        <w:rPr>
          <w:rFonts w:eastAsia="SimSun;宋体" w:cs="Mangal;Cambria Math"/>
          <w:b/>
          <w:bCs/>
          <w:color w:val="000000"/>
          <w:kern w:val="2"/>
          <w:sz w:val="24"/>
          <w:szCs w:val="24"/>
          <w:lang w:val="es-ES" w:eastAsia="zh-CN" w:bidi="hi-IN"/>
        </w:rPr>
        <w:t>Lote III Monfragüe</w:t>
      </w:r>
      <w:r>
        <w:rPr>
          <w:rFonts w:eastAsia="SimSun;宋体" w:cs="Mangal;Cambria Math"/>
          <w:b w:val="false"/>
          <w:bCs w:val="false"/>
          <w:color w:val="000000"/>
          <w:kern w:val="2"/>
          <w:sz w:val="24"/>
          <w:szCs w:val="24"/>
          <w:lang w:val="es-ES" w:eastAsia="zh-CN" w:bidi="hi-IN"/>
        </w:rPr>
        <w:t xml:space="preserve">, Tajo; </w:t>
      </w:r>
      <w:r>
        <w:rPr>
          <w:rFonts w:eastAsia="SimSun;宋体" w:cs="Mangal;Cambria Math"/>
          <w:b/>
          <w:bCs/>
          <w:color w:val="000000"/>
          <w:kern w:val="2"/>
          <w:sz w:val="24"/>
          <w:szCs w:val="24"/>
          <w:lang w:val="es-ES" w:eastAsia="zh-CN" w:bidi="hi-IN"/>
        </w:rPr>
        <w:t>Lote IV Tiétar</w:t>
      </w:r>
      <w:r>
        <w:rPr>
          <w:rFonts w:eastAsia="SimSun;宋体" w:cs="Mangal;Cambria Math"/>
          <w:b w:val="false"/>
          <w:bCs w:val="false"/>
          <w:color w:val="000000"/>
          <w:kern w:val="2"/>
          <w:sz w:val="24"/>
          <w:szCs w:val="24"/>
          <w:lang w:val="es-ES" w:eastAsia="zh-CN" w:bidi="hi-IN"/>
        </w:rPr>
        <w:t xml:space="preserve">, cuenca del Tajo, con municipios de la zona de Campo Arañuelo; </w:t>
      </w:r>
      <w:r>
        <w:rPr>
          <w:rFonts w:eastAsia="SimSun;宋体" w:cs="Mangal;Cambria Math"/>
          <w:b/>
          <w:bCs/>
          <w:color w:val="000000"/>
          <w:kern w:val="2"/>
          <w:sz w:val="24"/>
          <w:szCs w:val="24"/>
          <w:lang w:val="es-ES" w:eastAsia="zh-CN" w:bidi="hi-IN"/>
        </w:rPr>
        <w:t>Lote V La Vera</w:t>
      </w:r>
      <w:r>
        <w:rPr>
          <w:rFonts w:eastAsia="SimSun;宋体" w:cs="Mangal;Cambria Math"/>
          <w:b w:val="false"/>
          <w:bCs w:val="false"/>
          <w:color w:val="000000"/>
          <w:kern w:val="2"/>
          <w:sz w:val="24"/>
          <w:szCs w:val="24"/>
          <w:lang w:val="es-ES" w:eastAsia="zh-CN" w:bidi="hi-IN"/>
        </w:rPr>
        <w:t xml:space="preserve">, y </w:t>
      </w:r>
      <w:r>
        <w:rPr>
          <w:rFonts w:eastAsia="SimSun;宋体" w:cs="Mangal;Cambria Math"/>
          <w:b/>
          <w:bCs/>
          <w:color w:val="000000"/>
          <w:kern w:val="2"/>
          <w:sz w:val="24"/>
          <w:szCs w:val="24"/>
          <w:lang w:val="es-ES" w:eastAsia="zh-CN" w:bidi="hi-IN"/>
        </w:rPr>
        <w:t>LoteVI Norte</w:t>
      </w:r>
      <w:r>
        <w:rPr>
          <w:rFonts w:eastAsia="SimSun;宋体" w:cs="Mangal;Cambria Math"/>
          <w:b w:val="false"/>
          <w:bCs w:val="false"/>
          <w:color w:val="000000"/>
          <w:kern w:val="2"/>
          <w:sz w:val="24"/>
          <w:szCs w:val="24"/>
          <w:lang w:val="es-ES" w:eastAsia="zh-CN" w:bidi="hi-IN"/>
        </w:rPr>
        <w:t>, Tajo, entidades locales de Trasierra-Sierra de Granadilla.</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A estos lotes, se añadirá, en breve un séptimo par</w:t>
      </w:r>
      <w:r>
        <w:rPr>
          <w:rFonts w:eastAsia="SimSun;宋体" w:cs="Mangal;Cambria Math"/>
          <w:b w:val="false"/>
          <w:bCs w:val="false"/>
          <w:color w:val="000000"/>
          <w:kern w:val="2"/>
          <w:sz w:val="24"/>
          <w:szCs w:val="24"/>
          <w:lang w:val="es-ES" w:eastAsia="zh-CN" w:bidi="hi-IN"/>
        </w:rPr>
        <w:t>a</w:t>
      </w:r>
      <w:r>
        <w:rPr>
          <w:rFonts w:eastAsia="SimSun;宋体" w:cs="Mangal;Cambria Math"/>
          <w:b w:val="false"/>
          <w:bCs w:val="false"/>
          <w:color w:val="000000"/>
          <w:kern w:val="2"/>
          <w:sz w:val="24"/>
          <w:szCs w:val="24"/>
          <w:lang w:val="es-ES" w:eastAsia="zh-CN" w:bidi="hi-IN"/>
        </w:rPr>
        <w:t xml:space="preserve"> las instalaciones de depuración de</w:t>
      </w:r>
      <w:r>
        <w:rPr>
          <w:rFonts w:eastAsia="SimSun;宋体" w:cs="Mangal;Cambria Math"/>
          <w:b/>
          <w:bCs/>
          <w:color w:val="000000"/>
          <w:kern w:val="2"/>
          <w:sz w:val="24"/>
          <w:szCs w:val="24"/>
          <w:lang w:val="es-ES" w:eastAsia="zh-CN" w:bidi="hi-IN"/>
        </w:rPr>
        <w:t xml:space="preserve"> Sierra de Gata,</w:t>
      </w:r>
      <w:r>
        <w:rPr>
          <w:rFonts w:eastAsia="SimSun;宋体" w:cs="Mangal;Cambria Math"/>
          <w:b w:val="false"/>
          <w:bCs w:val="false"/>
          <w:color w:val="000000"/>
          <w:kern w:val="2"/>
          <w:sz w:val="24"/>
          <w:szCs w:val="24"/>
          <w:lang w:val="es-ES" w:eastAsia="zh-CN" w:bidi="hi-IN"/>
        </w:rPr>
        <w:t xml:space="preserve"> que actualmente está en fase de revisión. Con este último lote, MásMedio alcanzará la gestión de 52 EDARs, que cubrirán las necesidades de 59 municipios.</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El diputado ha manifestado su satisfacción por el trabajo hecho y por las perspectivas, ya que la previsión es que, a lo largo de 2025, se incremente el número de municipios atendidos y se alcancen los 70, “de manera que gestionaremos la depuración de aguas residuales en más del 75% de municipios que cuentan con infraestructuras de depuración en la provincia”.</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 xml:space="preserve">Además, Javier Prieto ha incidido en un aspecto que considera “vital para avanzar en uno de los objetivos que nos mueve, que es fijar población al territorio, a lo que contribuirá </w:t>
      </w:r>
      <w:r>
        <w:rPr>
          <w:rFonts w:eastAsia="SimSun;宋体" w:cs="Mangal;Cambria Math"/>
          <w:b/>
          <w:bCs/>
          <w:color w:val="000000"/>
          <w:kern w:val="2"/>
          <w:sz w:val="24"/>
          <w:szCs w:val="24"/>
          <w:lang w:val="es-ES" w:eastAsia="zh-CN" w:bidi="hi-IN"/>
        </w:rPr>
        <w:t>la creación de 47 puestos de trabajo directos</w:t>
      </w:r>
      <w:r>
        <w:rPr>
          <w:rFonts w:eastAsia="SimSun;宋体" w:cs="Mangal;Cambria Math"/>
          <w:b w:val="false"/>
          <w:bCs w:val="false"/>
          <w:color w:val="000000"/>
          <w:kern w:val="2"/>
          <w:sz w:val="24"/>
          <w:szCs w:val="24"/>
          <w:lang w:val="es-ES" w:eastAsia="zh-CN" w:bidi="hi-IN"/>
        </w:rPr>
        <w:t xml:space="preserve"> con esta licitación, entre operarios y técnicos, sin contar con empleo indirecto, con el que se alcanzará hasta </w:t>
      </w:r>
      <w:r>
        <w:rPr>
          <w:rFonts w:eastAsia="SimSun;宋体" w:cs="Mangal;Cambria Math"/>
          <w:b/>
          <w:bCs/>
          <w:color w:val="000000"/>
          <w:kern w:val="2"/>
          <w:sz w:val="24"/>
          <w:szCs w:val="24"/>
          <w:lang w:val="es-ES" w:eastAsia="zh-CN" w:bidi="hi-IN"/>
        </w:rPr>
        <w:t>un centenera de nuevos puestos de trabajo, que se generarán en laboratorios, empresas de mantenimiento y en torno a otros suministradores.</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 xml:space="preserve">A todo esto, se añaden también las mejoras para la </w:t>
      </w:r>
      <w:r>
        <w:rPr>
          <w:rFonts w:eastAsia="SimSun;宋体" w:cs="Mangal;Cambria Math"/>
          <w:b/>
          <w:bCs/>
          <w:color w:val="000000"/>
          <w:kern w:val="2"/>
          <w:sz w:val="24"/>
          <w:szCs w:val="24"/>
          <w:lang w:val="es-ES" w:eastAsia="zh-CN" w:bidi="hi-IN"/>
        </w:rPr>
        <w:t>digitalización</w:t>
      </w:r>
      <w:r>
        <w:rPr>
          <w:rFonts w:eastAsia="SimSun;宋体" w:cs="Mangal;Cambria Math"/>
          <w:b w:val="false"/>
          <w:bCs w:val="false"/>
          <w:color w:val="000000"/>
          <w:kern w:val="2"/>
          <w:sz w:val="24"/>
          <w:szCs w:val="24"/>
          <w:lang w:val="es-ES" w:eastAsia="zh-CN" w:bidi="hi-IN"/>
        </w:rPr>
        <w:t xml:space="preserve"> del Ciclo Integral del Agua, intervenciones que se llevarán a cabo en el marco del </w:t>
      </w:r>
      <w:r>
        <w:rPr>
          <w:rFonts w:eastAsia="SimSun;宋体" w:cs="Mangal;Cambria Math"/>
          <w:b/>
          <w:bCs/>
          <w:color w:val="000000"/>
          <w:kern w:val="2"/>
          <w:sz w:val="24"/>
          <w:szCs w:val="24"/>
          <w:lang w:val="es-ES" w:eastAsia="zh-CN" w:bidi="hi-IN"/>
        </w:rPr>
        <w:t>PERTE (Plan de Recuperación, Transformación y Resiliencia) del Ministerio de para la Transición Ecológica y Reto Demográfico,</w:t>
      </w:r>
      <w:r>
        <w:rPr>
          <w:rFonts w:eastAsia="SimSun;宋体" w:cs="Mangal;Cambria Math"/>
          <w:b w:val="false"/>
          <w:bCs w:val="false"/>
          <w:color w:val="000000"/>
          <w:kern w:val="2"/>
          <w:sz w:val="24"/>
          <w:szCs w:val="24"/>
          <w:lang w:val="es-ES" w:eastAsia="zh-CN" w:bidi="hi-IN"/>
        </w:rPr>
        <w:t xml:space="preserve"> </w:t>
      </w:r>
      <w:r>
        <w:rPr>
          <w:rFonts w:eastAsia="SimSun;宋体" w:cs="Mangal;Cambria Math"/>
          <w:b w:val="false"/>
          <w:bCs w:val="false"/>
          <w:color w:val="000000"/>
          <w:kern w:val="2"/>
          <w:sz w:val="24"/>
          <w:szCs w:val="24"/>
          <w:lang w:val="es-ES" w:eastAsia="zh-CN" w:bidi="hi-IN"/>
        </w:rPr>
        <w:t>al que se han solicita</w:t>
      </w:r>
      <w:r>
        <w:rPr>
          <w:rFonts w:eastAsia="SimSun;宋体" w:cs="Mangal;Cambria Math"/>
          <w:b w:val="false"/>
          <w:bCs w:val="false"/>
          <w:color w:val="000000"/>
          <w:kern w:val="2"/>
          <w:sz w:val="24"/>
          <w:szCs w:val="24"/>
          <w:shd w:fill="auto" w:val="clear"/>
          <w:lang w:val="es-ES" w:eastAsia="zh-CN" w:bidi="hi-IN"/>
        </w:rPr>
        <w:t xml:space="preserve">do </w:t>
      </w:r>
      <w:r>
        <w:rPr>
          <w:rFonts w:eastAsia="SimSun;宋体" w:cs="Mangal;Cambria Math"/>
          <w:b w:val="false"/>
          <w:bCs w:val="false"/>
          <w:color w:val="000000"/>
          <w:kern w:val="2"/>
          <w:sz w:val="24"/>
          <w:szCs w:val="24"/>
          <w:shd w:fill="auto" w:val="clear"/>
          <w:lang w:val="es-ES" w:eastAsia="zh-CN" w:bidi="hi-IN"/>
        </w:rPr>
        <w:t>8 millones d</w:t>
      </w:r>
      <w:r>
        <w:rPr>
          <w:rFonts w:eastAsia="SimSun;宋体" w:cs="Mangal;Cambria Math"/>
          <w:b w:val="false"/>
          <w:bCs w:val="false"/>
          <w:color w:val="000000"/>
          <w:kern w:val="2"/>
          <w:sz w:val="24"/>
          <w:szCs w:val="24"/>
          <w:lang w:val="es-ES" w:eastAsia="zh-CN" w:bidi="hi-IN"/>
        </w:rPr>
        <w:t>e euros</w:t>
      </w:r>
      <w:r>
        <w:rPr>
          <w:rFonts w:eastAsia="SimSun;宋体" w:cs="Mangal;Cambria Math"/>
          <w:b w:val="false"/>
          <w:bCs w:val="false"/>
          <w:color w:val="000000"/>
          <w:kern w:val="2"/>
          <w:sz w:val="24"/>
          <w:szCs w:val="24"/>
          <w:lang w:val="es-ES" w:eastAsia="zh-CN" w:bidi="hi-IN"/>
        </w:rPr>
        <w:t>, y se está en fase de resolución.</w:t>
      </w:r>
    </w:p>
    <w:p>
      <w:pPr>
        <w:pStyle w:val="Cuerpodetexto"/>
        <w:spacing w:before="0" w:after="125"/>
        <w:jc w:val="left"/>
        <w:rPr>
          <w:b/>
          <w:b/>
          <w:bCs/>
          <w:color w:val="000000"/>
        </w:rPr>
      </w:pPr>
      <w:r>
        <w:rPr>
          <w:rFonts w:eastAsia="SimSun;宋体" w:cs="Mangal;Cambria Math"/>
          <w:b w:val="false"/>
          <w:bCs w:val="false"/>
          <w:color w:val="000000"/>
          <w:kern w:val="2"/>
          <w:sz w:val="24"/>
          <w:szCs w:val="24"/>
          <w:lang w:val="es-ES" w:eastAsia="zh-CN" w:bidi="hi-IN"/>
        </w:rPr>
        <w:t>“</w:t>
      </w:r>
      <w:r>
        <w:rPr>
          <w:rFonts w:eastAsia="SimSun;宋体" w:cs="Mangal;Cambria Math"/>
          <w:b w:val="false"/>
          <w:bCs w:val="false"/>
          <w:color w:val="000000"/>
          <w:kern w:val="2"/>
          <w:sz w:val="24"/>
          <w:szCs w:val="24"/>
          <w:lang w:val="es-ES" w:eastAsia="zh-CN" w:bidi="hi-IN"/>
        </w:rPr>
        <w:t>Desde el consorcio MásMedio -ha concluido Javier Prieto- estamos muy orgullosos de la labor y el crecimiento de este servicio medioambiental, y del grado de satisfacción de los municipios en el servicio de depuración, tal como se refleja en la lista de municipios que actualmente se encuentran formalizando la encomienda del servicio de Saneamiento en Alta y Depuración de Aguas Residuales al consorcio”.</w:t>
      </w:r>
    </w:p>
    <w:p>
      <w:pPr>
        <w:pStyle w:val="Cuerpodetexto"/>
        <w:spacing w:before="0" w:after="125"/>
        <w:jc w:val="left"/>
        <w:rPr>
          <w:b/>
          <w:b/>
          <w:bCs/>
          <w:color w:val="000000"/>
        </w:rPr>
      </w:pPr>
      <w:r>
        <w:rPr/>
      </w:r>
    </w:p>
    <w:p>
      <w:pPr>
        <w:pStyle w:val="Cuerpodetexto"/>
        <w:spacing w:before="0" w:after="125"/>
        <w:jc w:val="left"/>
        <w:rPr>
          <w:b/>
          <w:b/>
          <w:bCs/>
        </w:rPr>
      </w:pPr>
      <w:r>
        <w:rPr>
          <w:rFonts w:eastAsia="SimSun;宋体" w:cs="Mangal;Cambria Math"/>
          <w:b/>
          <w:bCs/>
          <w:color w:val="000000"/>
          <w:kern w:val="2"/>
          <w:sz w:val="24"/>
          <w:szCs w:val="24"/>
          <w:lang w:val="es-ES" w:eastAsia="zh-CN" w:bidi="hi-IN"/>
        </w:rPr>
        <w:t xml:space="preserve">** </w:t>
      </w:r>
      <w:r>
        <w:rPr>
          <w:rFonts w:eastAsia="SimSun;宋体" w:cs="Mangal;Cambria Math"/>
          <w:b/>
          <w:bCs/>
          <w:color w:val="000000"/>
          <w:kern w:val="2"/>
          <w:sz w:val="24"/>
          <w:szCs w:val="24"/>
          <w:lang w:val="es-ES" w:eastAsia="zh-CN" w:bidi="hi-IN"/>
        </w:rPr>
        <w:t>Se adjunta listado y plano de bloques</w:t>
      </w:r>
    </w:p>
    <w:sectPr>
      <w:headerReference w:type="default" r:id="rId2"/>
      <w:footerReference w:type="default" r:id="rId3"/>
      <w:type w:val="nextPage"/>
      <w:pgSz w:w="11906" w:h="16838"/>
      <w:pgMar w:left="1134" w:right="1134" w:header="1134" w:top="1693" w:footer="460" w:bottom="238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Times New Roman" w:hAnsi="Times New Roman" w:cs="Times New Roman"/>
        <w:color w:val="999999"/>
        <w:sz w:val="24"/>
      </w:rPr>
    </w:pPr>
    <w:r>
      <w:rPr>
        <w:rFonts w:cs="Times New Roman"/>
        <w:color w:val="999999"/>
        <w:sz w:val="24"/>
      </w:rPr>
      <w:t>Gabinete de Comunicación</w:t>
    </w:r>
  </w:p>
  <w:p>
    <w:pPr>
      <w:pStyle w:val="Normal"/>
      <w:jc w:val="center"/>
      <w:rPr>
        <w:rFonts w:ascii="Times New Roman" w:hAnsi="Times New Roman" w:eastAsia="SimSun;宋体" w:cs="Times New Roman"/>
        <w:b/>
        <w:b/>
        <w:bCs/>
        <w:color w:val="999999"/>
        <w:kern w:val="2"/>
        <w:sz w:val="24"/>
        <w:szCs w:val="24"/>
        <w:lang w:val="es-ES" w:eastAsia="zh-CN" w:bidi="hi-IN"/>
      </w:rPr>
    </w:pPr>
    <w:r>
      <w:rPr>
        <w:rFonts w:eastAsia="SimSun;宋体" w:cs="Times New Roman"/>
        <w:b/>
        <w:bCs/>
        <w:color w:val="999999"/>
        <w:kern w:val="2"/>
        <w:sz w:val="24"/>
        <w:szCs w:val="24"/>
        <w:lang w:val="es-ES" w:eastAsia="zh-CN" w:bidi="hi-IN"/>
      </w:rPr>
      <w:t>Diputación Provincial de Cáceres</w:t>
    </w:r>
  </w:p>
  <w:p>
    <w:pPr>
      <w:pStyle w:val="Normal"/>
      <w:jc w:val="center"/>
      <w:rPr/>
    </w:pPr>
    <w:r>
      <w:rPr>
        <w:rFonts w:eastAsia="SimSun;宋体" w:cs="Times New Roman"/>
        <w:b/>
        <w:bCs/>
        <w:color w:val="999999"/>
        <w:kern w:val="2"/>
        <w:sz w:val="24"/>
        <w:szCs w:val="24"/>
        <w:lang w:val="es-ES" w:eastAsia="zh-CN" w:bidi="hi-IN"/>
      </w:rPr>
      <w:t>Telf.</w:t>
    </w:r>
    <w:r>
      <w:rPr>
        <w:rFonts w:eastAsia="SimSun;宋体" w:cs="Times New Roman"/>
        <w:color w:val="999999"/>
        <w:kern w:val="2"/>
        <w:sz w:val="24"/>
        <w:szCs w:val="24"/>
        <w:lang w:val="es-ES" w:eastAsia="zh-CN" w:bidi="hi-IN"/>
      </w:rPr>
      <w:t xml:space="preserve"> 927 25 55 48 </w:t>
    </w:r>
    <w:r>
      <w:rPr>
        <w:rFonts w:cs="Times New Roman"/>
        <w:color w:val="999999"/>
        <w:sz w:val="24"/>
      </w:rPr>
      <w:t xml:space="preserve"> -  </w:t>
    </w:r>
    <w:r>
      <w:rPr>
        <w:rFonts w:cs="Times New Roman"/>
        <w:b/>
        <w:bCs/>
        <w:color w:val="999999"/>
        <w:sz w:val="24"/>
      </w:rPr>
      <w:t>Email</w:t>
    </w:r>
    <w:r>
      <w:rPr>
        <w:rFonts w:cs="Times New Roman"/>
        <w:color w:val="999999"/>
        <w:sz w:val="24"/>
      </w:rPr>
      <w:t>: prensa@dip-caceres.es</w:t>
    </w:r>
  </w:p>
  <w:p>
    <w:pPr>
      <w:pStyle w:val="Normal"/>
      <w:jc w:val="center"/>
      <w:rPr/>
    </w:pPr>
    <w:r>
      <w:rPr>
        <w:rFonts w:cs="Times New Roman"/>
        <w:color w:val="808080"/>
        <w:sz w:val="14"/>
      </w:rPr>
      <w:t>- - - - - - - - - - - - - - - - - - - - - - - - - -</w:t>
    </w:r>
    <w:r>
      <w:rPr>
        <w:rFonts w:cs="Times New Roman"/>
        <w:color w:val="A36100"/>
        <w:sz w:val="24"/>
      </w:rPr>
      <w:br/>
      <w:t>Palacio de Carvajal, C/ Amargura 1, 10003, Cáceres</w:t>
    </w:r>
  </w:p>
  <w:p>
    <w:pPr>
      <w:pStyle w:val="Normal"/>
      <w:jc w:val="center"/>
      <w:rPr/>
    </w:pPr>
    <w:hyperlink r:id="rId1" w:tgtFrame="_blank">
      <w:r>
        <w:rPr>
          <w:rStyle w:val="EnlacedeInternet"/>
          <w:rFonts w:cs="Times New Roman"/>
          <w:color w:val="FF0000"/>
          <w:sz w:val="24"/>
        </w:rPr>
        <w:t>Web</w:t>
      </w:r>
    </w:hyperlink>
    <w:r>
      <w:rPr>
        <w:rFonts w:cs="Times New Roman"/>
        <w:color w:val="FF0000"/>
        <w:sz w:val="24"/>
      </w:rPr>
      <w:t xml:space="preserve"> -</w:t>
    </w:r>
    <w:hyperlink r:id="rId2" w:tgtFrame="_blank">
      <w:r>
        <w:rPr>
          <w:rStyle w:val="EnlacedeInternet"/>
          <w:rFonts w:cs="Times New Roman"/>
          <w:color w:val="FF0000"/>
          <w:sz w:val="24"/>
        </w:rPr>
        <w:t>Facebook</w:t>
      </w:r>
    </w:hyperlink>
    <w:r>
      <w:rPr>
        <w:rFonts w:cs="Times New Roman"/>
        <w:color w:val="FF0000"/>
        <w:sz w:val="24"/>
      </w:rPr>
      <w:t>-</w:t>
    </w:r>
    <w:hyperlink r:id="rId3" w:tgtFrame="_blank">
      <w:bookmarkStart w:id="0" w:name="OBJ_PREFIX_DWT174_com_zimbra_url"/>
      <w:bookmarkEnd w:id="0"/>
      <w:r>
        <w:rPr>
          <w:rStyle w:val="EnlacedeInternet"/>
          <w:rFonts w:cs="Times New Roman"/>
          <w:color w:val="FF0000"/>
          <w:sz w:val="24"/>
        </w:rPr>
        <w:t>Twitter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3">
          <wp:simplePos x="0" y="0"/>
          <wp:positionH relativeFrom="column">
            <wp:posOffset>-35560</wp:posOffset>
          </wp:positionH>
          <wp:positionV relativeFrom="paragraph">
            <wp:posOffset>-464185</wp:posOffset>
          </wp:positionV>
          <wp:extent cx="1410970" cy="59690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1334" t="-2888" r="-1334" b="-2888"/>
                  <a:stretch>
                    <a:fillRect/>
                  </a:stretch>
                </pic:blipFill>
                <pic:spPr bwMode="auto">
                  <a:xfrm>
                    <a:off x="0" y="0"/>
                    <a:ext cx="1410970" cy="5969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129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SimSun;宋体" w:cs="Mangal;Cambria Math"/>
      <w:color w:val="auto"/>
      <w:kern w:val="2"/>
      <w:sz w:val="24"/>
      <w:szCs w:val="24"/>
      <w:lang w:val="es-ES" w:eastAsia="zh-CN" w:bidi="hi-IN"/>
    </w:rPr>
  </w:style>
  <w:style w:type="paragraph" w:styleId="Ttulo2">
    <w:name w:val="Heading 2"/>
    <w:basedOn w:val="Encabezado2"/>
    <w:next w:val="Cuerpodetexto"/>
    <w:qFormat/>
    <w:pPr>
      <w:numPr>
        <w:ilvl w:val="1"/>
        <w:numId w:val="1"/>
      </w:numPr>
      <w:spacing w:before="200" w:after="12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3z0">
    <w:name w:val="WW8Num3z0"/>
    <w:qFormat/>
    <w:rPr>
      <w:rFonts w:ascii="Wingdings" w:hAnsi="Wingdings" w:cs="OpenSymbol;Arial Unicode MS"/>
    </w:rPr>
  </w:style>
  <w:style w:type="character" w:styleId="Fuentedeprrafopredeter">
    <w:name w:val="Fuente de párrafo predeter."/>
    <w:qFormat/>
    <w:rPr/>
  </w:style>
  <w:style w:type="character" w:styleId="AbsatzStandardschriftart">
    <w:name w:val="Absatz-Standardschriftart"/>
    <w:qFormat/>
    <w:rPr/>
  </w:style>
  <w:style w:type="character" w:styleId="WWAbsatzStandardschriftart">
    <w:name w:val="WW-Absatz-Standardschriftart"/>
    <w:qFormat/>
    <w:rPr/>
  </w:style>
  <w:style w:type="character" w:styleId="Fuentedeprrafopredeter1">
    <w:name w:val="Fuente de párrafo predeter.1"/>
    <w:qFormat/>
    <w:rPr/>
  </w:style>
  <w:style w:type="character" w:styleId="Smbolosdenumeracin">
    <w:name w:val="Símbolos de numeración"/>
    <w:qFormat/>
    <w:rPr/>
  </w:style>
  <w:style w:type="character" w:styleId="EnlacedeInternet">
    <w:name w:val="Enlace de Internet"/>
    <w:rPr>
      <w:color w:val="000080"/>
      <w:u w:val="single"/>
      <w:lang w:val="zxx" w:bidi="zxx"/>
    </w:rPr>
  </w:style>
  <w:style w:type="character" w:styleId="EnlacedeInternetvisitado">
    <w:name w:val="Enlace de Internet visitado"/>
    <w:rPr>
      <w:color w:val="800000"/>
      <w:u w:val="single"/>
      <w:lang w:val="zxx" w:bidi="zxx"/>
    </w:rPr>
  </w:style>
  <w:style w:type="character" w:styleId="WW8Num17z0">
    <w:name w:val="WW8Num17z0"/>
    <w:qFormat/>
    <w:rPr>
      <w:rFonts w:ascii="Wingdings" w:hAnsi="Wingdings" w:cs="Wingdings"/>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Muydestacado">
    <w:name w:val="Muy destacado"/>
    <w:qFormat/>
    <w:rPr>
      <w:b/>
      <w:bCs/>
    </w:rPr>
  </w:style>
  <w:style w:type="character" w:styleId="Vietas">
    <w:name w:val="Viñetas"/>
    <w:qFormat/>
    <w:rPr>
      <w:rFonts w:ascii="OpenSymbol;Arial Unicode MS" w:hAnsi="OpenSymbol;Arial Unicode MS" w:eastAsia="OpenSymbol;Arial Unicode MS" w:cs="OpenSymbol;Arial Unicode MS"/>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before="0" w:after="120"/>
    </w:pPr>
    <w:rPr/>
  </w:style>
  <w:style w:type="paragraph" w:styleId="Lista">
    <w:name w:val="List"/>
    <w:basedOn w:val="Cuerpodetexto"/>
    <w:pPr/>
    <w:rPr>
      <w:rFonts w:cs="Mangal;Cambria Math"/>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Cambria Math"/>
    </w:rPr>
  </w:style>
  <w:style w:type="paragraph" w:styleId="Encabezado2">
    <w:name w:val="Encabezado2"/>
    <w:basedOn w:val="Normal"/>
    <w:next w:val="Cuerpodetexto"/>
    <w:qFormat/>
    <w:pPr>
      <w:keepNext w:val="true"/>
      <w:spacing w:before="240" w:after="120"/>
    </w:pPr>
    <w:rPr>
      <w:rFonts w:ascii="Liberation Sans;Arial" w:hAnsi="Liberation Sans;Arial" w:eastAsia="Microsoft YaHei" w:cs="Mangal;Cambria Math"/>
      <w:sz w:val="28"/>
      <w:szCs w:val="28"/>
    </w:rPr>
  </w:style>
  <w:style w:type="paragraph" w:styleId="Encabezado">
    <w:name w:val="Encabezado"/>
    <w:basedOn w:val="Normal"/>
    <w:next w:val="Cuerpodetexto"/>
    <w:qFormat/>
    <w:pPr>
      <w:keepNext w:val="true"/>
      <w:spacing w:before="240" w:after="120"/>
    </w:pPr>
    <w:rPr>
      <w:rFonts w:ascii="Liberation Sans;Arial" w:hAnsi="Liberation Sans;Arial" w:eastAsia="Microsoft YaHei" w:cs="Arial Unicode MS"/>
      <w:sz w:val="28"/>
      <w:szCs w:val="28"/>
    </w:rPr>
  </w:style>
  <w:style w:type="paragraph" w:styleId="Pie">
    <w:name w:val="Pie"/>
    <w:basedOn w:val="Normal"/>
    <w:qFormat/>
    <w:pPr>
      <w:suppressLineNumbers/>
      <w:spacing w:before="120" w:after="120"/>
    </w:pPr>
    <w:rPr>
      <w:rFonts w:cs="Arial Unicode MS"/>
      <w:i/>
      <w:iCs/>
      <w:sz w:val="24"/>
      <w:szCs w:val="24"/>
    </w:rPr>
  </w:style>
  <w:style w:type="paragraph" w:styleId="Epgrafe">
    <w:name w:val="Epígrafe"/>
    <w:basedOn w:val="Normal"/>
    <w:qFormat/>
    <w:pPr>
      <w:suppressLineNumbers/>
      <w:spacing w:before="120" w:after="120"/>
    </w:pPr>
    <w:rPr>
      <w:rFonts w:cs="Mangal;Cambria Math"/>
      <w:i/>
      <w:iCs/>
      <w:sz w:val="24"/>
      <w:szCs w:val="24"/>
    </w:rPr>
  </w:style>
  <w:style w:type="paragraph" w:styleId="Etiqueta">
    <w:name w:val="Etiqueta"/>
    <w:basedOn w:val="Normal"/>
    <w:qFormat/>
    <w:pPr>
      <w:suppressLineNumbers/>
      <w:spacing w:before="120" w:after="120"/>
    </w:pPr>
    <w:rPr>
      <w:rFonts w:cs="Mangal;Cambria Math"/>
      <w:i/>
      <w:iCs/>
      <w:sz w:val="24"/>
      <w:szCs w:val="24"/>
    </w:rPr>
  </w:style>
  <w:style w:type="paragraph" w:styleId="Encabezado1">
    <w:name w:val="Encabezado1"/>
    <w:basedOn w:val="Normal"/>
    <w:next w:val="Cuerpodetexto"/>
    <w:qFormat/>
    <w:pPr>
      <w:keepNext w:val="true"/>
      <w:spacing w:before="240" w:after="120"/>
    </w:pPr>
    <w:rPr>
      <w:rFonts w:ascii="Arial" w:hAnsi="Arial" w:eastAsia="SimSun;宋体" w:cs="Mangal;Cambria Math"/>
      <w:sz w:val="28"/>
      <w:szCs w:val="28"/>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Cuerpo">
    <w:name w:val="Cuerpo"/>
    <w:qFormat/>
    <w:pPr>
      <w:widowControl/>
      <w:shd w:val="clear" w:fill="FFFFFF"/>
      <w:suppressAutoHyphens w:val="true"/>
      <w:bidi w:val="0"/>
      <w:spacing w:before="0" w:after="0"/>
      <w:jc w:val="left"/>
    </w:pPr>
    <w:rPr>
      <w:rFonts w:ascii="Helvetica;Arial" w:hAnsi="Helvetica;Arial" w:eastAsia="Arial Unicode MS" w:cs="Arial Unicode MS"/>
      <w:color w:val="000000"/>
      <w:kern w:val="2"/>
      <w:sz w:val="22"/>
      <w:szCs w:val="22"/>
      <w:lang w:val="en-US" w:eastAsia="zh-CN" w:bidi="hi-IN"/>
    </w:rPr>
  </w:style>
  <w:style w:type="paragraph" w:styleId="Default">
    <w:name w:val="Default"/>
    <w:qFormat/>
    <w:pPr>
      <w:widowControl w:val="false"/>
      <w:suppressAutoHyphens w:val="true"/>
      <w:bidi w:val="0"/>
      <w:spacing w:before="0" w:after="0"/>
      <w:jc w:val="left"/>
    </w:pPr>
    <w:rPr>
      <w:rFonts w:ascii="Arial" w:hAnsi="Arial" w:eastAsia="SimSun;宋体" w:cs="Mangal;Cambria Math"/>
      <w:color w:val="000000"/>
      <w:kern w:val="0"/>
      <w:sz w:val="24"/>
      <w:szCs w:val="24"/>
      <w:lang w:val="es-ES" w:eastAsia="zh-CN" w:bidi="hi-IN"/>
    </w:rPr>
  </w:style>
  <w:style w:type="paragraph" w:styleId="Pa6">
    <w:name w:val="Pa6"/>
    <w:basedOn w:val="Default"/>
    <w:qFormat/>
    <w:pPr>
      <w:spacing w:lineRule="atLeast" w:line="201"/>
    </w:pPr>
    <w:rPr/>
  </w:style>
  <w:style w:type="paragraph" w:styleId="NoSpacing">
    <w:name w:val="No Spacing"/>
    <w:qFormat/>
    <w:pPr>
      <w:widowControl/>
      <w:suppressAutoHyphens w:val="true"/>
      <w:bidi w:val="0"/>
      <w:spacing w:before="0" w:after="0"/>
      <w:jc w:val="left"/>
    </w:pPr>
    <w:rPr>
      <w:rFonts w:ascii="Calibri" w:hAnsi="Calibri" w:eastAsia="Calibri" w:cs=""/>
      <w:color w:val="00000A"/>
      <w:kern w:val="0"/>
      <w:sz w:val="22"/>
      <w:szCs w:val="22"/>
      <w:lang w:val="es-ES" w:eastAsia="zh-CN" w:bidi="ar-SA"/>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dip-caceres.es/" TargetMode="External"/><Relationship Id="rId2" Type="http://schemas.openxmlformats.org/officeDocument/2006/relationships/hyperlink" Target="https://www.facebook.com/pages/Diputaci&#243;n-Provincial-de-C&#225;ceres/349881631780796?ref=ts&amp;fref=ts" TargetMode="External"/><Relationship Id="rId3" Type="http://schemas.openxmlformats.org/officeDocument/2006/relationships/hyperlink" Target="https://twitter.com/DiputacionCC"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2199</TotalTime>
  <Application>LibreOffice/7.0.3.1$Windows_X86_64 LibreOffice_project/d7547858d014d4cf69878db179d326fc3483e082</Application>
  <Pages>2</Pages>
  <Words>653</Words>
  <Characters>3269</Characters>
  <CharactersWithSpaces>3908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2015-09-21T21:44:00Z</dcterms:created>
  <dc:creator>MINISTERIO DE INDUSTRIA, ENERGÍA Y TURISMO</dc:creator>
  <dc:description/>
  <cp:keywords>ORDEN ORDEN ORDEN ORDEN ORDEN ORDEN ORDEN ORDEN ORDEN ORDEN ORDEN ORDEN ORDEN ORDEN ORDEN ORDEN ORDEN ORDEN ORDEN ORDEN ORDEN ORDEN ORDEN ORDEN ORDEN ORDEN ORDEN IET/1917/2015 de 09/09/2015 "MINISTERIO DE INDUSTRIA ORDEN IET/1917/2015 de 09/09/2015 "MINISTERIO DE INDUSTRIA ENERGÍA Y TURISMO" BOE-A-2015-10183 BOE 227 de 2015 10183 22/09/2015</cp:keywords>
  <dc:language>es-ES</dc:language>
  <cp:lastModifiedBy/>
  <cp:lastPrinted>2024-04-05T09:06:03Z</cp:lastPrinted>
  <dcterms:modified xsi:type="dcterms:W3CDTF">2024-05-22T13:19:55Z</dcterms:modified>
  <cp:revision>442</cp:revision>
  <dc:subject>BOE-A-2015-10183</dc:subject>
  <dc:title>Disposición 10183 del BOE núm. 227 de 2015</dc:title>
</cp:coreProperties>
</file>